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Pr="00E004CF" w:rsidRDefault="00E004CF" w:rsidP="00E004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in the second quarter Meeting on 08 Jul 2020 of </w:t>
      </w:r>
      <w:proofErr w:type="spellStart"/>
      <w:r w:rsidRPr="00E004CF">
        <w:rPr>
          <w:rFonts w:ascii="Arial" w:hAnsi="Arial" w:cs="Arial"/>
          <w:b/>
          <w:sz w:val="20"/>
          <w:szCs w:val="20"/>
        </w:rPr>
        <w:t>Soc</w:t>
      </w:r>
      <w:proofErr w:type="spellEnd"/>
      <w:r w:rsidRPr="00E004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04CF">
        <w:rPr>
          <w:rFonts w:ascii="Arial" w:hAnsi="Arial" w:cs="Arial"/>
          <w:b/>
          <w:sz w:val="20"/>
          <w:szCs w:val="20"/>
        </w:rPr>
        <w:t>Trang</w:t>
      </w:r>
      <w:proofErr w:type="spellEnd"/>
      <w:r w:rsidRPr="00E004CF">
        <w:rPr>
          <w:rFonts w:ascii="Arial" w:hAnsi="Arial" w:cs="Arial"/>
          <w:b/>
          <w:sz w:val="20"/>
          <w:szCs w:val="20"/>
        </w:rPr>
        <w:t xml:space="preserve"> Public Works 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E004CF">
        <w:rPr>
          <w:rFonts w:ascii="Arial" w:hAnsi="Arial" w:cs="Arial"/>
          <w:sz w:val="20"/>
          <w:szCs w:val="20"/>
        </w:rPr>
        <w:t>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4CF" w:rsidRPr="00E004CF">
        <w:rPr>
          <w:rFonts w:ascii="Arial" w:hAnsi="Arial" w:cs="Arial"/>
          <w:sz w:val="20"/>
          <w:szCs w:val="20"/>
        </w:rPr>
        <w:t>Soc</w:t>
      </w:r>
      <w:proofErr w:type="spellEnd"/>
      <w:r w:rsidR="00E004CF" w:rsidRPr="00E004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4CF" w:rsidRPr="00E004CF">
        <w:rPr>
          <w:rFonts w:ascii="Arial" w:hAnsi="Arial" w:cs="Arial"/>
          <w:sz w:val="20"/>
          <w:szCs w:val="20"/>
        </w:rPr>
        <w:t>Trang</w:t>
      </w:r>
      <w:proofErr w:type="spellEnd"/>
      <w:r w:rsidR="00E004CF" w:rsidRPr="00E004CF">
        <w:rPr>
          <w:rFonts w:ascii="Arial" w:hAnsi="Arial" w:cs="Arial"/>
          <w:sz w:val="20"/>
          <w:szCs w:val="20"/>
        </w:rPr>
        <w:t xml:space="preserve"> Public Works Joint Stock Company</w:t>
      </w:r>
      <w:r w:rsidR="00E004CF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E004CF" w:rsidRPr="00E004CF">
        <w:rPr>
          <w:rFonts w:ascii="Arial" w:hAnsi="Arial" w:cs="Arial"/>
          <w:sz w:val="20"/>
          <w:szCs w:val="20"/>
        </w:rPr>
        <w:t xml:space="preserve">in the second quarter Meeting on 08 Jul 2020 of </w:t>
      </w:r>
      <w:proofErr w:type="spellStart"/>
      <w:r w:rsidR="00E004CF" w:rsidRPr="00E004CF">
        <w:rPr>
          <w:rFonts w:ascii="Arial" w:hAnsi="Arial" w:cs="Arial"/>
          <w:sz w:val="20"/>
          <w:szCs w:val="20"/>
        </w:rPr>
        <w:t>Soc</w:t>
      </w:r>
      <w:proofErr w:type="spellEnd"/>
      <w:r w:rsidR="00E004CF" w:rsidRPr="00E004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4CF" w:rsidRPr="00E004CF">
        <w:rPr>
          <w:rFonts w:ascii="Arial" w:hAnsi="Arial" w:cs="Arial"/>
          <w:sz w:val="20"/>
          <w:szCs w:val="20"/>
        </w:rPr>
        <w:t>Trang</w:t>
      </w:r>
      <w:proofErr w:type="spellEnd"/>
      <w:r w:rsidR="00E004CF" w:rsidRPr="00E004CF">
        <w:rPr>
          <w:rFonts w:ascii="Arial" w:hAnsi="Arial" w:cs="Arial"/>
          <w:sz w:val="20"/>
          <w:szCs w:val="20"/>
        </w:rPr>
        <w:t xml:space="preserve"> Public Works Joint Stock Company</w:t>
      </w:r>
      <w:r w:rsidR="00E004C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004CF" w:rsidRDefault="00E00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004CF">
        <w:rPr>
          <w:rFonts w:ascii="Arial" w:hAnsi="Arial" w:cs="Arial"/>
          <w:sz w:val="20"/>
          <w:szCs w:val="20"/>
        </w:rPr>
        <w:t xml:space="preserve"> Approving the acquisition of 6,000 committed shares of 03 emplo</w:t>
      </w:r>
      <w:r>
        <w:rPr>
          <w:rFonts w:ascii="Arial" w:hAnsi="Arial" w:cs="Arial"/>
          <w:sz w:val="20"/>
          <w:szCs w:val="20"/>
        </w:rPr>
        <w:t>yees who have stopped working for</w:t>
      </w:r>
      <w:r w:rsidRPr="00E004CF">
        <w:rPr>
          <w:rFonts w:ascii="Arial" w:hAnsi="Arial" w:cs="Arial"/>
          <w:sz w:val="20"/>
          <w:szCs w:val="20"/>
        </w:rPr>
        <w:t xml:space="preserve"> treasury sto</w:t>
      </w:r>
      <w:r>
        <w:rPr>
          <w:rFonts w:ascii="Arial" w:hAnsi="Arial" w:cs="Arial"/>
          <w:sz w:val="20"/>
          <w:szCs w:val="20"/>
        </w:rPr>
        <w:t>cks, at the price of VND 16,100</w:t>
      </w:r>
      <w:r w:rsidRPr="00E004C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004CF">
        <w:rPr>
          <w:rFonts w:ascii="Arial" w:hAnsi="Arial" w:cs="Arial"/>
          <w:sz w:val="20"/>
          <w:szCs w:val="20"/>
        </w:rPr>
        <w:t xml:space="preserve">share </w:t>
      </w:r>
    </w:p>
    <w:p w:rsidR="00E004CF" w:rsidRDefault="00E00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4CF">
        <w:rPr>
          <w:rFonts w:ascii="Arial" w:hAnsi="Arial" w:cs="Arial"/>
          <w:sz w:val="20"/>
          <w:szCs w:val="20"/>
        </w:rPr>
        <w:t xml:space="preserve">Article 2. </w:t>
      </w:r>
      <w:r>
        <w:rPr>
          <w:rFonts w:ascii="Arial" w:hAnsi="Arial" w:cs="Arial"/>
          <w:sz w:val="20"/>
          <w:szCs w:val="20"/>
        </w:rPr>
        <w:t xml:space="preserve">This board resolution </w:t>
      </w:r>
      <w:r w:rsidRPr="00E004CF">
        <w:rPr>
          <w:rFonts w:ascii="Arial" w:hAnsi="Arial" w:cs="Arial"/>
          <w:sz w:val="20"/>
          <w:szCs w:val="20"/>
        </w:rPr>
        <w:t xml:space="preserve">takes effect from the date of signing. Members of the Board of Directors,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Pr="00E004CF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004CF">
        <w:rPr>
          <w:rFonts w:ascii="Arial" w:hAnsi="Arial" w:cs="Arial"/>
          <w:sz w:val="20"/>
          <w:szCs w:val="20"/>
        </w:rPr>
        <w:t>Soc</w:t>
      </w:r>
      <w:proofErr w:type="spellEnd"/>
      <w:r w:rsidRPr="00E004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4CF">
        <w:rPr>
          <w:rFonts w:ascii="Arial" w:hAnsi="Arial" w:cs="Arial"/>
          <w:sz w:val="20"/>
          <w:szCs w:val="20"/>
        </w:rPr>
        <w:t>Trang</w:t>
      </w:r>
      <w:proofErr w:type="spellEnd"/>
      <w:r w:rsidRPr="00E004CF">
        <w:rPr>
          <w:rFonts w:ascii="Arial" w:hAnsi="Arial" w:cs="Arial"/>
          <w:sz w:val="20"/>
          <w:szCs w:val="20"/>
        </w:rPr>
        <w:t xml:space="preserve"> Public Works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004CF">
        <w:rPr>
          <w:rFonts w:ascii="Arial" w:hAnsi="Arial" w:cs="Arial"/>
          <w:sz w:val="20"/>
          <w:szCs w:val="20"/>
        </w:rPr>
        <w:t>are responsible for implementing this Resolution</w:t>
      </w:r>
    </w:p>
    <w:p w:rsidR="00E004CF" w:rsidRDefault="00E004CF" w:rsidP="00E004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of </w:t>
      </w:r>
      <w:r w:rsidRPr="00E004CF">
        <w:rPr>
          <w:rFonts w:ascii="Arial" w:hAnsi="Arial" w:cs="Arial"/>
          <w:sz w:val="20"/>
          <w:szCs w:val="20"/>
        </w:rPr>
        <w:t>committed shares of 03 emplo</w:t>
      </w:r>
      <w:r>
        <w:rPr>
          <w:rFonts w:ascii="Arial" w:hAnsi="Arial" w:cs="Arial"/>
          <w:sz w:val="20"/>
          <w:szCs w:val="20"/>
        </w:rPr>
        <w:t>yees who have stopped working</w:t>
      </w:r>
      <w:r>
        <w:rPr>
          <w:rFonts w:ascii="Arial" w:hAnsi="Arial" w:cs="Arial"/>
          <w:sz w:val="20"/>
          <w:szCs w:val="20"/>
        </w:rPr>
        <w:t xml:space="preserve"> in Board resolution No.06/NQ.HDQT – CTDT dated 08 Jul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711"/>
        <w:gridCol w:w="1820"/>
        <w:gridCol w:w="1395"/>
        <w:gridCol w:w="1365"/>
        <w:gridCol w:w="1365"/>
        <w:gridCol w:w="1363"/>
      </w:tblGrid>
      <w:tr w:rsidR="00E004CF" w:rsidTr="00E900AD">
        <w:tc>
          <w:tcPr>
            <w:tcW w:w="557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11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820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place</w:t>
            </w:r>
          </w:p>
        </w:tc>
        <w:tc>
          <w:tcPr>
            <w:tcW w:w="1395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</w:t>
            </w:r>
          </w:p>
        </w:tc>
        <w:tc>
          <w:tcPr>
            <w:tcW w:w="1365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restriction time</w:t>
            </w:r>
          </w:p>
        </w:tc>
        <w:tc>
          <w:tcPr>
            <w:tcW w:w="1365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time of t</w:t>
            </w:r>
            <w:r>
              <w:rPr>
                <w:rFonts w:ascii="Arial" w:hAnsi="Arial" w:cs="Arial"/>
                <w:sz w:val="20"/>
                <w:szCs w:val="20"/>
              </w:rPr>
              <w:t>ransfer restriction</w:t>
            </w:r>
          </w:p>
        </w:tc>
        <w:tc>
          <w:tcPr>
            <w:tcW w:w="1363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quitting job</w:t>
            </w:r>
          </w:p>
        </w:tc>
      </w:tr>
      <w:tr w:rsidR="00E004CF" w:rsidTr="00E900AD">
        <w:tc>
          <w:tcPr>
            <w:tcW w:w="557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Hoang Ngoc Tram</w:t>
            </w:r>
          </w:p>
        </w:tc>
        <w:tc>
          <w:tcPr>
            <w:tcW w:w="1820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Human Resources and General Affairs</w:t>
            </w:r>
          </w:p>
        </w:tc>
        <w:tc>
          <w:tcPr>
            <w:tcW w:w="139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36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</w:t>
            </w:r>
          </w:p>
        </w:tc>
        <w:tc>
          <w:tcPr>
            <w:tcW w:w="136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Jan 2028</w:t>
            </w:r>
          </w:p>
        </w:tc>
        <w:tc>
          <w:tcPr>
            <w:tcW w:w="1363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 2020</w:t>
            </w:r>
          </w:p>
        </w:tc>
      </w:tr>
      <w:tr w:rsidR="00E004CF" w:rsidTr="00E900AD">
        <w:tc>
          <w:tcPr>
            <w:tcW w:w="557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Diep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820" w:type="dxa"/>
          </w:tcPr>
          <w:p w:rsidR="00E004CF" w:rsidRDefault="00E900AD" w:rsidP="00E900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enterprise</w:t>
            </w:r>
          </w:p>
        </w:tc>
        <w:tc>
          <w:tcPr>
            <w:tcW w:w="139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36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years</w:t>
            </w:r>
          </w:p>
        </w:tc>
        <w:tc>
          <w:tcPr>
            <w:tcW w:w="136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Jan 2022</w:t>
            </w:r>
          </w:p>
        </w:tc>
        <w:tc>
          <w:tcPr>
            <w:tcW w:w="1363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Jun 2020</w:t>
            </w:r>
          </w:p>
        </w:tc>
      </w:tr>
      <w:tr w:rsidR="00E004CF" w:rsidTr="00E900AD">
        <w:tc>
          <w:tcPr>
            <w:tcW w:w="557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820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enterprise</w:t>
            </w:r>
          </w:p>
        </w:tc>
        <w:tc>
          <w:tcPr>
            <w:tcW w:w="139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36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</w:t>
            </w:r>
          </w:p>
        </w:tc>
        <w:tc>
          <w:tcPr>
            <w:tcW w:w="136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Jan 2028</w:t>
            </w:r>
          </w:p>
        </w:tc>
        <w:tc>
          <w:tcPr>
            <w:tcW w:w="1363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Jun 2020</w:t>
            </w:r>
          </w:p>
        </w:tc>
      </w:tr>
      <w:tr w:rsidR="00E004CF" w:rsidTr="00E900AD">
        <w:tc>
          <w:tcPr>
            <w:tcW w:w="557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20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E004CF" w:rsidRDefault="00E900AD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365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E004CF" w:rsidRDefault="00E004CF" w:rsidP="00E00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4CF" w:rsidRDefault="00E004CF" w:rsidP="00E004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0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17F54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004CF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00AD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4AF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335</cp:revision>
  <dcterms:created xsi:type="dcterms:W3CDTF">2019-10-16T10:03:00Z</dcterms:created>
  <dcterms:modified xsi:type="dcterms:W3CDTF">2020-07-10T08:27:00Z</dcterms:modified>
</cp:coreProperties>
</file>